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2023-2024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 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Төлеубай Әділхан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Бақытжан Мұстафа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Туртулова Айша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Бахтиярова Сара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Рахат Батырхан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Тойымбет Ахмедияр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Серік Ақнұр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Белегбаева Әсел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Қасымбай Әдия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Қасымбек Томирис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Егінбай Медина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Елібай Әмірхан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Кодирбекова Айзере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Бақытжан Әміре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" 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Ғалымжанқызы Әнел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 (б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